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56D" w:rsidRPr="00F17FDB" w:rsidRDefault="0078156D" w:rsidP="0078156D">
      <w:pPr>
        <w:pStyle w:val="Heading3"/>
        <w:spacing w:before="120" w:after="120" w:line="240" w:lineRule="auto"/>
        <w:jc w:val="center"/>
      </w:pPr>
      <w:bookmarkStart w:id="0" w:name="_GoBack"/>
      <w:bookmarkEnd w:id="0"/>
      <w:r w:rsidRPr="00F17FDB">
        <w:t>Department of Behavioral Health and Nutrition</w:t>
      </w:r>
    </w:p>
    <w:p w:rsidR="0078156D" w:rsidRPr="008029BA" w:rsidRDefault="0078156D" w:rsidP="0078156D">
      <w:pPr>
        <w:pStyle w:val="Heading3"/>
        <w:spacing w:before="120" w:after="120" w:line="240" w:lineRule="auto"/>
        <w:jc w:val="center"/>
        <w:rPr>
          <w:sz w:val="32"/>
          <w:szCs w:val="32"/>
        </w:rPr>
      </w:pPr>
      <w:r>
        <w:rPr>
          <w:sz w:val="32"/>
          <w:szCs w:val="32"/>
        </w:rPr>
        <w:t>MINOR</w:t>
      </w:r>
      <w:r w:rsidRPr="008029BA">
        <w:rPr>
          <w:sz w:val="32"/>
          <w:szCs w:val="32"/>
        </w:rPr>
        <w:t xml:space="preserve">: </w:t>
      </w:r>
      <w:r>
        <w:rPr>
          <w:sz w:val="32"/>
          <w:szCs w:val="32"/>
        </w:rPr>
        <w:t>NUTRITION</w:t>
      </w:r>
    </w:p>
    <w:p w:rsidR="0078156D" w:rsidRPr="00A83E0A" w:rsidRDefault="0078156D" w:rsidP="0078156D">
      <w:pPr>
        <w:pStyle w:val="Heading3"/>
        <w:spacing w:before="120" w:after="120" w:line="240" w:lineRule="auto"/>
        <w:jc w:val="center"/>
        <w:rPr>
          <w:sz w:val="20"/>
          <w:szCs w:val="20"/>
        </w:rPr>
      </w:pPr>
      <w:r>
        <w:rPr>
          <w:sz w:val="20"/>
          <w:szCs w:val="20"/>
        </w:rPr>
        <w:t>Minimum Credits in the Minor:  15, with 16 prerequisite CHEM credits</w:t>
      </w:r>
    </w:p>
    <w:p w:rsidR="0078156D" w:rsidRDefault="0078156D" w:rsidP="0078156D">
      <w:pPr>
        <w:pStyle w:val="NormalWeb"/>
        <w:spacing w:before="0" w:beforeAutospacing="0" w:after="0" w:afterAutospacing="0" w:line="240" w:lineRule="auto"/>
        <w:rPr>
          <w:rFonts w:ascii="Arial" w:hAnsi="Arial" w:cs="Arial"/>
          <w:b/>
          <w:color w:val="auto"/>
          <w:sz w:val="22"/>
          <w:szCs w:val="22"/>
        </w:rPr>
      </w:pPr>
    </w:p>
    <w:p w:rsidR="0078156D" w:rsidRDefault="0078156D" w:rsidP="0078156D">
      <w:pPr>
        <w:pStyle w:val="NormalWeb"/>
        <w:spacing w:before="0" w:beforeAutospacing="0" w:after="0" w:afterAutospacing="0" w:line="240" w:lineRule="auto"/>
        <w:rPr>
          <w:rFonts w:ascii="Arial" w:hAnsi="Arial" w:cs="Arial"/>
          <w:b/>
          <w:color w:val="auto"/>
          <w:sz w:val="22"/>
          <w:szCs w:val="22"/>
        </w:rPr>
      </w:pPr>
    </w:p>
    <w:p w:rsidR="0078156D" w:rsidRPr="00DB0276" w:rsidRDefault="0078156D" w:rsidP="0078156D">
      <w:pPr>
        <w:pStyle w:val="NormalWeb"/>
        <w:spacing w:before="0" w:beforeAutospacing="0" w:after="0" w:afterAutospacing="0" w:line="240" w:lineRule="auto"/>
        <w:rPr>
          <w:rFonts w:ascii="Arial" w:hAnsi="Arial" w:cs="Arial"/>
          <w:color w:val="auto"/>
          <w:sz w:val="22"/>
          <w:szCs w:val="22"/>
        </w:rPr>
      </w:pPr>
      <w:r w:rsidRPr="00DB0276">
        <w:rPr>
          <w:rFonts w:ascii="Arial" w:hAnsi="Arial" w:cs="Arial"/>
          <w:color w:val="auto"/>
          <w:sz w:val="22"/>
          <w:szCs w:val="22"/>
        </w:rPr>
        <w:t>A minor in Nutrition provides student from other degree programs including, but not limited to, Biology, Chemistry and Nursing a fairly intensive level of understanding of nutritional science as well as acknowledgement of this knowledge.  This minor is for students interested in the area of nutrition who believe that good nutrition and personal lifestyles are important for the well-being of individuals.  This program is not available to students whose major program requires all of the following courses:</w:t>
      </w:r>
    </w:p>
    <w:p w:rsidR="0078156D" w:rsidRPr="00DB0276" w:rsidRDefault="0078156D" w:rsidP="0078156D">
      <w:pPr>
        <w:pStyle w:val="NormalWeb"/>
        <w:spacing w:before="0" w:beforeAutospacing="0" w:after="0" w:afterAutospacing="0" w:line="240" w:lineRule="auto"/>
        <w:rPr>
          <w:rFonts w:ascii="Arial" w:hAnsi="Arial" w:cs="Arial"/>
          <w:color w:val="auto"/>
          <w:sz w:val="22"/>
          <w:szCs w:val="22"/>
        </w:rPr>
      </w:pPr>
    </w:p>
    <w:p w:rsidR="0078156D" w:rsidRPr="00923760" w:rsidRDefault="0078156D" w:rsidP="0078156D">
      <w:pPr>
        <w:pStyle w:val="NormalWeb"/>
        <w:spacing w:before="0" w:beforeAutospacing="0" w:after="0" w:afterAutospacing="0" w:line="240" w:lineRule="auto"/>
        <w:rPr>
          <w:rFonts w:ascii="Arial" w:hAnsi="Arial" w:cs="Arial"/>
          <w:b/>
          <w:color w:val="auto"/>
          <w:sz w:val="22"/>
          <w:szCs w:val="22"/>
        </w:rPr>
      </w:pPr>
      <w:r w:rsidRPr="00923760">
        <w:rPr>
          <w:rFonts w:ascii="Arial" w:hAnsi="Arial" w:cs="Arial"/>
          <w:b/>
          <w:color w:val="auto"/>
          <w:sz w:val="22"/>
          <w:szCs w:val="22"/>
        </w:rPr>
        <w:t>A minimum of 15 credit hours with a minimum grade of C- is required.</w:t>
      </w:r>
    </w:p>
    <w:p w:rsidR="0078156D" w:rsidRDefault="0078156D" w:rsidP="0078156D">
      <w:pPr>
        <w:pStyle w:val="NormalWeb"/>
        <w:spacing w:before="0" w:beforeAutospacing="0" w:after="0" w:afterAutospacing="0" w:line="240" w:lineRule="auto"/>
        <w:rPr>
          <w:rFonts w:ascii="Arial" w:hAnsi="Arial" w:cs="Arial"/>
          <w:color w:val="auto"/>
          <w:sz w:val="22"/>
          <w:szCs w:val="22"/>
        </w:rPr>
      </w:pPr>
    </w:p>
    <w:p w:rsidR="0078156D" w:rsidRPr="00F7454C" w:rsidRDefault="0078156D" w:rsidP="0078156D">
      <w:pPr>
        <w:spacing w:after="120" w:line="240" w:lineRule="auto"/>
        <w:rPr>
          <w:rFonts w:asciiTheme="majorHAnsi" w:hAnsiTheme="majorHAnsi" w:cs="Arial"/>
        </w:rPr>
      </w:pPr>
      <w:r>
        <w:rPr>
          <w:rFonts w:ascii="Arial" w:hAnsi="Arial" w:cs="Arial"/>
          <w:b/>
          <w:sz w:val="22"/>
          <w:szCs w:val="22"/>
          <w:u w:val="single"/>
        </w:rPr>
        <w:t>REQUIRED COURSES (</w:t>
      </w:r>
      <w:r w:rsidRPr="003359F0">
        <w:rPr>
          <w:rFonts w:ascii="Arial" w:hAnsi="Arial" w:cs="Arial"/>
          <w:b/>
          <w:i/>
          <w:sz w:val="22"/>
          <w:szCs w:val="22"/>
          <w:highlight w:val="yellow"/>
          <w:u w:val="single"/>
        </w:rPr>
        <w:t>Prerequisites</w:t>
      </w:r>
      <w:r>
        <w:rPr>
          <w:rFonts w:ascii="Arial" w:hAnsi="Arial" w:cs="Arial"/>
          <w:b/>
          <w:sz w:val="22"/>
          <w:szCs w:val="22"/>
          <w:u w:val="single"/>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7454C">
        <w:rPr>
          <w:rFonts w:ascii="Arial" w:hAnsi="Arial" w:cs="Arial"/>
          <w:b/>
          <w:sz w:val="22"/>
          <w:szCs w:val="22"/>
          <w:u w:val="single"/>
        </w:rPr>
        <w:t>Credits</w:t>
      </w:r>
      <w:r>
        <w:rPr>
          <w:rFonts w:ascii="Arial" w:hAnsi="Arial" w:cs="Arial"/>
          <w:sz w:val="22"/>
          <w:szCs w:val="22"/>
        </w:rPr>
        <w:tab/>
      </w:r>
    </w:p>
    <w:p w:rsidR="0078156D" w:rsidRPr="00DB0276" w:rsidRDefault="0078156D" w:rsidP="0078156D">
      <w:pPr>
        <w:pStyle w:val="NormalWeb"/>
        <w:spacing w:before="0" w:beforeAutospacing="0" w:after="0" w:afterAutospacing="0" w:line="240" w:lineRule="auto"/>
        <w:rPr>
          <w:rFonts w:ascii="Arial" w:hAnsi="Arial" w:cs="Arial"/>
          <w:color w:val="auto"/>
          <w:sz w:val="22"/>
          <w:szCs w:val="22"/>
        </w:rPr>
      </w:pPr>
    </w:p>
    <w:p w:rsidR="0078156D" w:rsidRPr="008B482B" w:rsidRDefault="0078156D" w:rsidP="0078156D">
      <w:pPr>
        <w:pStyle w:val="NormalWeb"/>
        <w:spacing w:before="0" w:beforeAutospacing="0" w:after="0" w:afterAutospacing="0" w:line="240" w:lineRule="auto"/>
        <w:rPr>
          <w:rFonts w:ascii="Arial" w:hAnsi="Arial" w:cs="Arial"/>
          <w:color w:val="auto"/>
        </w:rPr>
      </w:pPr>
      <w:r w:rsidRPr="008B482B">
        <w:rPr>
          <w:rFonts w:ascii="Arial" w:hAnsi="Arial" w:cs="Arial"/>
          <w:color w:val="auto"/>
        </w:rPr>
        <w:t>NTDT 200</w:t>
      </w:r>
      <w:r w:rsidRPr="008B482B">
        <w:rPr>
          <w:rFonts w:ascii="Arial" w:hAnsi="Arial" w:cs="Arial"/>
          <w:color w:val="auto"/>
        </w:rPr>
        <w:tab/>
      </w:r>
      <w:r w:rsidRPr="008B482B">
        <w:rPr>
          <w:rFonts w:ascii="Arial" w:hAnsi="Arial" w:cs="Arial"/>
          <w:color w:val="auto"/>
        </w:rPr>
        <w:tab/>
        <w:t>Nutrition Concepts</w:t>
      </w:r>
      <w:r w:rsidRPr="008B482B">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8B482B">
        <w:rPr>
          <w:rFonts w:ascii="Arial" w:hAnsi="Arial" w:cs="Arial"/>
          <w:color w:val="auto"/>
        </w:rPr>
        <w:tab/>
        <w:t>3 credits</w:t>
      </w:r>
    </w:p>
    <w:p w:rsidR="0078156D" w:rsidRDefault="0078156D" w:rsidP="0078156D">
      <w:pPr>
        <w:pStyle w:val="NormalWeb"/>
        <w:spacing w:before="0" w:beforeAutospacing="0" w:after="0" w:afterAutospacing="0" w:line="240" w:lineRule="auto"/>
        <w:rPr>
          <w:rFonts w:ascii="Arial" w:hAnsi="Arial" w:cs="Arial"/>
          <w:color w:val="auto"/>
        </w:rPr>
      </w:pPr>
    </w:p>
    <w:p w:rsidR="0078156D" w:rsidRDefault="0078156D" w:rsidP="0078156D">
      <w:pPr>
        <w:pStyle w:val="NormalWeb"/>
        <w:spacing w:before="0" w:beforeAutospacing="0" w:after="0" w:afterAutospacing="0" w:line="240" w:lineRule="auto"/>
        <w:rPr>
          <w:rFonts w:ascii="Arial" w:hAnsi="Arial" w:cs="Arial"/>
          <w:color w:val="auto"/>
        </w:rPr>
      </w:pPr>
    </w:p>
    <w:p w:rsidR="0078156D" w:rsidRDefault="0078156D" w:rsidP="0078156D">
      <w:pPr>
        <w:pStyle w:val="NormalWeb"/>
        <w:spacing w:before="0" w:beforeAutospacing="0" w:after="0" w:afterAutospacing="0" w:line="240" w:lineRule="auto"/>
        <w:rPr>
          <w:rFonts w:ascii="Arial" w:hAnsi="Arial" w:cs="Arial"/>
          <w:color w:val="auto"/>
        </w:rPr>
      </w:pPr>
      <w:r w:rsidRPr="008B482B">
        <w:rPr>
          <w:rFonts w:ascii="Arial" w:hAnsi="Arial" w:cs="Arial"/>
          <w:color w:val="auto"/>
        </w:rPr>
        <w:t>NTDT400</w:t>
      </w:r>
      <w:r w:rsidRPr="008B482B">
        <w:rPr>
          <w:rFonts w:ascii="Arial" w:hAnsi="Arial" w:cs="Arial"/>
          <w:color w:val="auto"/>
        </w:rPr>
        <w:tab/>
      </w:r>
      <w:r w:rsidRPr="008B482B">
        <w:rPr>
          <w:rFonts w:ascii="Arial" w:hAnsi="Arial" w:cs="Arial"/>
          <w:color w:val="auto"/>
        </w:rPr>
        <w:tab/>
        <w:t>Macronutrients</w:t>
      </w:r>
      <w:r w:rsidRPr="008B482B">
        <w:rPr>
          <w:rFonts w:ascii="Arial" w:hAnsi="Arial" w:cs="Arial"/>
          <w:color w:val="auto"/>
        </w:rPr>
        <w:tab/>
      </w:r>
      <w:r w:rsidRPr="003359F0">
        <w:rPr>
          <w:rFonts w:ascii="Arial" w:hAnsi="Arial" w:cs="Arial"/>
          <w:i/>
          <w:color w:val="auto"/>
        </w:rPr>
        <w:t xml:space="preserve"> </w:t>
      </w:r>
      <w:r w:rsidRPr="003359F0">
        <w:rPr>
          <w:rFonts w:ascii="Arial" w:hAnsi="Arial" w:cs="Arial"/>
          <w:i/>
          <w:color w:val="auto"/>
          <w:highlight w:val="yellow"/>
        </w:rPr>
        <w:t>(PR CHEM101, CHEM102,</w:t>
      </w:r>
      <w:r>
        <w:rPr>
          <w:rFonts w:ascii="Arial" w:hAnsi="Arial" w:cs="Arial"/>
          <w:color w:val="auto"/>
        </w:rPr>
        <w:tab/>
      </w:r>
      <w:r>
        <w:rPr>
          <w:rFonts w:ascii="Arial" w:hAnsi="Arial" w:cs="Arial"/>
          <w:color w:val="auto"/>
        </w:rPr>
        <w:tab/>
      </w:r>
      <w:r w:rsidRPr="008B482B">
        <w:rPr>
          <w:rFonts w:ascii="Arial" w:hAnsi="Arial" w:cs="Arial"/>
          <w:color w:val="auto"/>
        </w:rPr>
        <w:t>3 credits</w:t>
      </w:r>
    </w:p>
    <w:p w:rsidR="0078156D" w:rsidRPr="003359F0" w:rsidRDefault="0078156D" w:rsidP="0078156D">
      <w:pPr>
        <w:pStyle w:val="NormalWeb"/>
        <w:spacing w:before="0" w:beforeAutospacing="0" w:after="0" w:afterAutospacing="0" w:line="240" w:lineRule="auto"/>
        <w:rPr>
          <w:rFonts w:ascii="Arial" w:hAnsi="Arial" w:cs="Arial"/>
          <w:i/>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3359F0">
        <w:rPr>
          <w:rFonts w:ascii="Arial" w:hAnsi="Arial" w:cs="Arial"/>
          <w:i/>
          <w:color w:val="auto"/>
          <w:highlight w:val="yellow"/>
        </w:rPr>
        <w:t>CHEM213/215 AND CHEM214/216*)</w:t>
      </w:r>
    </w:p>
    <w:p w:rsidR="0078156D" w:rsidRDefault="0078156D" w:rsidP="0078156D">
      <w:pPr>
        <w:pStyle w:val="NormalWeb"/>
        <w:spacing w:before="0" w:beforeAutospacing="0" w:after="0" w:afterAutospacing="0" w:line="240" w:lineRule="auto"/>
        <w:rPr>
          <w:rFonts w:ascii="Arial" w:hAnsi="Arial" w:cs="Arial"/>
          <w:color w:val="auto"/>
        </w:rPr>
      </w:pPr>
      <w:r w:rsidRPr="008B482B">
        <w:rPr>
          <w:rFonts w:ascii="Arial" w:hAnsi="Arial" w:cs="Arial"/>
          <w:color w:val="auto"/>
        </w:rPr>
        <w:tab/>
      </w:r>
      <w:r>
        <w:rPr>
          <w:rFonts w:ascii="Arial" w:hAnsi="Arial" w:cs="Arial"/>
          <w:color w:val="auto"/>
        </w:rPr>
        <w:tab/>
      </w:r>
      <w:r w:rsidRPr="008B482B">
        <w:rPr>
          <w:rFonts w:ascii="Arial" w:hAnsi="Arial" w:cs="Arial"/>
          <w:color w:val="auto"/>
        </w:rPr>
        <w:tab/>
      </w:r>
    </w:p>
    <w:p w:rsidR="0078156D" w:rsidRPr="008B482B" w:rsidRDefault="0078156D" w:rsidP="0078156D">
      <w:pPr>
        <w:pStyle w:val="NormalWeb"/>
        <w:spacing w:before="0" w:beforeAutospacing="0" w:after="0" w:afterAutospacing="0" w:line="240" w:lineRule="auto"/>
        <w:rPr>
          <w:rFonts w:ascii="Arial" w:hAnsi="Arial" w:cs="Arial"/>
          <w:color w:val="auto"/>
        </w:rPr>
      </w:pPr>
    </w:p>
    <w:p w:rsidR="0078156D" w:rsidRDefault="0078156D" w:rsidP="0078156D">
      <w:pPr>
        <w:pStyle w:val="NormalWeb"/>
        <w:spacing w:before="0" w:beforeAutospacing="0" w:after="0" w:afterAutospacing="0" w:line="240" w:lineRule="auto"/>
        <w:rPr>
          <w:rFonts w:ascii="Arial" w:hAnsi="Arial" w:cs="Arial"/>
          <w:color w:val="auto"/>
        </w:rPr>
      </w:pPr>
      <w:r w:rsidRPr="008B482B">
        <w:rPr>
          <w:rFonts w:ascii="Arial" w:hAnsi="Arial" w:cs="Arial"/>
          <w:color w:val="auto"/>
        </w:rPr>
        <w:t>NTDT 401</w:t>
      </w:r>
      <w:r w:rsidRPr="008B482B">
        <w:rPr>
          <w:rFonts w:ascii="Arial" w:hAnsi="Arial" w:cs="Arial"/>
          <w:color w:val="auto"/>
        </w:rPr>
        <w:tab/>
      </w:r>
      <w:r w:rsidRPr="008B482B">
        <w:rPr>
          <w:rFonts w:ascii="Arial" w:hAnsi="Arial" w:cs="Arial"/>
          <w:color w:val="auto"/>
        </w:rPr>
        <w:tab/>
        <w:t>Micronutrients</w:t>
      </w:r>
      <w:r>
        <w:rPr>
          <w:rFonts w:ascii="Arial" w:hAnsi="Arial" w:cs="Arial"/>
          <w:color w:val="auto"/>
        </w:rPr>
        <w:t xml:space="preserve"> </w:t>
      </w:r>
      <w:r w:rsidRPr="003359F0">
        <w:rPr>
          <w:rFonts w:ascii="Arial" w:hAnsi="Arial" w:cs="Arial"/>
          <w:i/>
          <w:color w:val="auto"/>
          <w:highlight w:val="yellow"/>
        </w:rPr>
        <w:t>(PR NTDT400)</w:t>
      </w:r>
      <w:r w:rsidRPr="008B482B">
        <w:rPr>
          <w:rFonts w:ascii="Arial" w:hAnsi="Arial" w:cs="Arial"/>
          <w:color w:val="auto"/>
        </w:rPr>
        <w:tab/>
      </w:r>
      <w:r>
        <w:rPr>
          <w:rFonts w:ascii="Arial" w:hAnsi="Arial" w:cs="Arial"/>
          <w:color w:val="auto"/>
        </w:rPr>
        <w:tab/>
      </w:r>
      <w:r w:rsidRPr="008B482B">
        <w:rPr>
          <w:rFonts w:ascii="Arial" w:hAnsi="Arial" w:cs="Arial"/>
          <w:color w:val="auto"/>
        </w:rPr>
        <w:tab/>
      </w:r>
      <w:r w:rsidRPr="008B482B">
        <w:rPr>
          <w:rFonts w:ascii="Arial" w:hAnsi="Arial" w:cs="Arial"/>
          <w:color w:val="auto"/>
        </w:rPr>
        <w:tab/>
        <w:t>3 credits</w:t>
      </w:r>
      <w:r>
        <w:rPr>
          <w:rFonts w:ascii="Arial" w:hAnsi="Arial" w:cs="Arial"/>
          <w:color w:val="auto"/>
        </w:rPr>
        <w:tab/>
      </w:r>
    </w:p>
    <w:p w:rsidR="0078156D" w:rsidRPr="008B482B" w:rsidRDefault="0078156D" w:rsidP="0078156D">
      <w:pPr>
        <w:pStyle w:val="NormalWeb"/>
        <w:spacing w:before="0" w:beforeAutospacing="0" w:after="0" w:afterAutospacing="0" w:line="240" w:lineRule="auto"/>
        <w:rPr>
          <w:rFonts w:ascii="Arial" w:hAnsi="Arial" w:cs="Arial"/>
          <w:color w:val="auto"/>
        </w:rPr>
      </w:pPr>
    </w:p>
    <w:p w:rsidR="0078156D" w:rsidRDefault="0078156D" w:rsidP="0078156D">
      <w:pPr>
        <w:pStyle w:val="NormalWeb"/>
        <w:spacing w:before="0" w:beforeAutospacing="0" w:after="0" w:afterAutospacing="0" w:line="240" w:lineRule="auto"/>
        <w:rPr>
          <w:rFonts w:ascii="Arial" w:hAnsi="Arial" w:cs="Arial"/>
          <w:color w:val="auto"/>
        </w:rPr>
      </w:pPr>
    </w:p>
    <w:p w:rsidR="0078156D" w:rsidRDefault="0078156D" w:rsidP="0078156D">
      <w:pPr>
        <w:pStyle w:val="NormalWeb"/>
        <w:spacing w:before="0" w:beforeAutospacing="0" w:after="0" w:afterAutospacing="0" w:line="240" w:lineRule="auto"/>
        <w:rPr>
          <w:rFonts w:ascii="Arial" w:hAnsi="Arial" w:cs="Arial"/>
          <w:color w:val="auto"/>
        </w:rPr>
      </w:pPr>
      <w:r w:rsidRPr="008B482B">
        <w:rPr>
          <w:rFonts w:ascii="Arial" w:hAnsi="Arial" w:cs="Arial"/>
          <w:color w:val="auto"/>
        </w:rPr>
        <w:t xml:space="preserve">NTDT </w:t>
      </w:r>
      <w:r>
        <w:rPr>
          <w:rFonts w:ascii="Arial" w:hAnsi="Arial" w:cs="Arial"/>
          <w:color w:val="auto"/>
        </w:rPr>
        <w:t>Electives</w:t>
      </w:r>
      <w:r>
        <w:rPr>
          <w:rFonts w:ascii="Arial" w:hAnsi="Arial" w:cs="Arial"/>
          <w:color w:val="auto"/>
        </w:rPr>
        <w:tab/>
      </w:r>
      <w:r>
        <w:rPr>
          <w:rFonts w:ascii="Arial" w:hAnsi="Arial" w:cs="Arial"/>
          <w:color w:val="auto"/>
        </w:rPr>
        <w:tab/>
        <w:t xml:space="preserve">2 courses </w:t>
      </w:r>
      <w:r w:rsidRPr="008B482B">
        <w:rPr>
          <w:rFonts w:ascii="Arial" w:hAnsi="Arial" w:cs="Arial"/>
          <w:color w:val="auto"/>
        </w:rPr>
        <w:t>300 level or higher</w:t>
      </w:r>
      <w:r w:rsidRPr="008B482B">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6 credits</w:t>
      </w:r>
    </w:p>
    <w:p w:rsidR="0078156D" w:rsidRDefault="0078156D" w:rsidP="0078156D">
      <w:pPr>
        <w:pStyle w:val="NormalWeb"/>
        <w:spacing w:before="0" w:beforeAutospacing="0" w:after="0" w:afterAutospacing="0" w:line="240" w:lineRule="auto"/>
        <w:rPr>
          <w:rFonts w:ascii="Arial" w:hAnsi="Arial" w:cs="Arial"/>
          <w:color w:val="auto"/>
          <w:sz w:val="22"/>
          <w:szCs w:val="22"/>
        </w:rPr>
      </w:pPr>
    </w:p>
    <w:p w:rsidR="0078156D" w:rsidRDefault="0078156D" w:rsidP="0078156D">
      <w:pPr>
        <w:pStyle w:val="NormalWeb"/>
        <w:spacing w:before="0" w:beforeAutospacing="0" w:after="0" w:afterAutospacing="0" w:line="240" w:lineRule="auto"/>
        <w:rPr>
          <w:rFonts w:ascii="Arial" w:hAnsi="Arial" w:cs="Arial"/>
          <w:color w:val="auto"/>
          <w:sz w:val="22"/>
          <w:szCs w:val="22"/>
        </w:rPr>
      </w:pPr>
      <w:r w:rsidRPr="003F3F34">
        <w:rPr>
          <w:rFonts w:ascii="Arial" w:hAnsi="Arial" w:cs="Arial"/>
          <w:b/>
          <w:color w:val="auto"/>
          <w:sz w:val="22"/>
          <w:szCs w:val="22"/>
          <w:u w:val="single"/>
        </w:rPr>
        <w:t>Suggested Electives</w:t>
      </w:r>
      <w:r w:rsidRPr="003359F0">
        <w:rPr>
          <w:rFonts w:ascii="Arial" w:hAnsi="Arial" w:cs="Arial"/>
          <w:b/>
          <w:color w:val="auto"/>
          <w:sz w:val="22"/>
          <w:szCs w:val="22"/>
        </w:rPr>
        <w:t>: 3 credits each</w:t>
      </w:r>
    </w:p>
    <w:p w:rsidR="0078156D" w:rsidRDefault="0078156D" w:rsidP="0078156D">
      <w:pPr>
        <w:pStyle w:val="NormalWeb"/>
        <w:spacing w:before="0" w:beforeAutospacing="0" w:after="0" w:afterAutospacing="0" w:line="240" w:lineRule="auto"/>
        <w:rPr>
          <w:rFonts w:ascii="Arial" w:hAnsi="Arial" w:cs="Arial"/>
          <w:color w:val="auto"/>
          <w:sz w:val="22"/>
          <w:szCs w:val="22"/>
        </w:rPr>
      </w:pPr>
    </w:p>
    <w:p w:rsidR="0078156D" w:rsidRDefault="0078156D" w:rsidP="0078156D">
      <w:pPr>
        <w:pStyle w:val="NormalWeb"/>
        <w:spacing w:before="0" w:beforeAutospacing="0" w:after="0" w:afterAutospacing="0" w:line="240" w:lineRule="auto"/>
        <w:rPr>
          <w:rFonts w:ascii="Arial" w:hAnsi="Arial" w:cs="Arial"/>
          <w:color w:val="auto"/>
          <w:sz w:val="22"/>
          <w:szCs w:val="22"/>
        </w:rPr>
      </w:pPr>
      <w:r>
        <w:rPr>
          <w:rFonts w:ascii="Arial" w:hAnsi="Arial" w:cs="Arial"/>
          <w:color w:val="auto"/>
          <w:sz w:val="22"/>
          <w:szCs w:val="22"/>
        </w:rPr>
        <w:t>NTDT301 Cultural Perspectives on Food &amp; Nutrition</w:t>
      </w:r>
    </w:p>
    <w:p w:rsidR="0078156D" w:rsidRPr="00923760" w:rsidRDefault="0078156D" w:rsidP="0078156D">
      <w:pPr>
        <w:pStyle w:val="NormalWeb"/>
        <w:spacing w:before="0" w:beforeAutospacing="0" w:after="0" w:afterAutospacing="0" w:line="240" w:lineRule="auto"/>
        <w:rPr>
          <w:rFonts w:ascii="Arial" w:hAnsi="Arial" w:cs="Arial"/>
          <w:i/>
          <w:color w:val="auto"/>
          <w:sz w:val="22"/>
          <w:szCs w:val="22"/>
        </w:rPr>
      </w:pPr>
      <w:r>
        <w:rPr>
          <w:rFonts w:ascii="Arial" w:hAnsi="Arial" w:cs="Arial"/>
          <w:color w:val="auto"/>
          <w:sz w:val="22"/>
          <w:szCs w:val="22"/>
        </w:rPr>
        <w:t xml:space="preserve">NTDT305 Nutrition in the Lifespan </w:t>
      </w:r>
      <w:r w:rsidRPr="00923760">
        <w:rPr>
          <w:rFonts w:ascii="Arial" w:hAnsi="Arial" w:cs="Arial"/>
          <w:i/>
          <w:color w:val="auto"/>
          <w:sz w:val="22"/>
          <w:szCs w:val="22"/>
          <w:highlight w:val="yellow"/>
        </w:rPr>
        <w:t>(PR NTDT200 and a biology course)</w:t>
      </w:r>
    </w:p>
    <w:p w:rsidR="0078156D" w:rsidRDefault="0078156D" w:rsidP="0078156D">
      <w:pPr>
        <w:pStyle w:val="NormalWeb"/>
        <w:spacing w:before="0" w:beforeAutospacing="0" w:after="0" w:afterAutospacing="0" w:line="240" w:lineRule="auto"/>
        <w:rPr>
          <w:rFonts w:ascii="Arial" w:hAnsi="Arial" w:cs="Arial"/>
          <w:color w:val="auto"/>
          <w:sz w:val="22"/>
          <w:szCs w:val="22"/>
        </w:rPr>
      </w:pPr>
      <w:r>
        <w:rPr>
          <w:rFonts w:ascii="Arial" w:hAnsi="Arial" w:cs="Arial"/>
          <w:color w:val="auto"/>
          <w:sz w:val="22"/>
          <w:szCs w:val="22"/>
        </w:rPr>
        <w:t xml:space="preserve">NTDT310 Nutrition and Activity </w:t>
      </w:r>
      <w:r w:rsidRPr="00923760">
        <w:rPr>
          <w:rFonts w:ascii="Arial" w:hAnsi="Arial" w:cs="Arial"/>
          <w:i/>
          <w:color w:val="auto"/>
          <w:sz w:val="22"/>
          <w:szCs w:val="22"/>
          <w:highlight w:val="yellow"/>
        </w:rPr>
        <w:t>(PR NTDT200 and a physiology course)</w:t>
      </w:r>
    </w:p>
    <w:p w:rsidR="0078156D" w:rsidRPr="00923760" w:rsidRDefault="0078156D" w:rsidP="0078156D">
      <w:pPr>
        <w:pStyle w:val="NormalWeb"/>
        <w:spacing w:before="0" w:beforeAutospacing="0" w:after="0" w:afterAutospacing="0" w:line="240" w:lineRule="auto"/>
        <w:rPr>
          <w:rFonts w:ascii="Arial" w:hAnsi="Arial" w:cs="Arial"/>
          <w:i/>
          <w:color w:val="auto"/>
          <w:sz w:val="22"/>
          <w:szCs w:val="22"/>
        </w:rPr>
      </w:pPr>
      <w:r>
        <w:rPr>
          <w:rFonts w:ascii="Arial" w:hAnsi="Arial" w:cs="Arial"/>
          <w:color w:val="auto"/>
          <w:sz w:val="22"/>
          <w:szCs w:val="22"/>
        </w:rPr>
        <w:t xml:space="preserve">NTDT350 Nutrition and Older Adults </w:t>
      </w:r>
      <w:r w:rsidRPr="00923760">
        <w:rPr>
          <w:rFonts w:ascii="Arial" w:hAnsi="Arial" w:cs="Arial"/>
          <w:i/>
          <w:color w:val="auto"/>
          <w:sz w:val="22"/>
          <w:szCs w:val="22"/>
          <w:highlight w:val="yellow"/>
        </w:rPr>
        <w:t>(PR NTDT200 and BISC106 or BISC276)</w:t>
      </w:r>
    </w:p>
    <w:p w:rsidR="0078156D" w:rsidRPr="00923760" w:rsidRDefault="0078156D" w:rsidP="0078156D">
      <w:pPr>
        <w:pStyle w:val="NormalWeb"/>
        <w:spacing w:before="0" w:beforeAutospacing="0" w:after="0" w:afterAutospacing="0" w:line="240" w:lineRule="auto"/>
        <w:rPr>
          <w:rFonts w:ascii="Arial" w:hAnsi="Arial" w:cs="Arial"/>
          <w:i/>
          <w:color w:val="auto"/>
          <w:sz w:val="22"/>
          <w:szCs w:val="22"/>
        </w:rPr>
      </w:pPr>
      <w:r>
        <w:rPr>
          <w:rFonts w:ascii="Arial" w:hAnsi="Arial" w:cs="Arial"/>
          <w:color w:val="auto"/>
          <w:sz w:val="22"/>
          <w:szCs w:val="22"/>
        </w:rPr>
        <w:t xml:space="preserve">NTDT410 Overweight/Obesity Prevention &amp; Management </w:t>
      </w:r>
      <w:r w:rsidRPr="00923760">
        <w:rPr>
          <w:rFonts w:ascii="Arial" w:hAnsi="Arial" w:cs="Arial"/>
          <w:i/>
          <w:color w:val="auto"/>
          <w:sz w:val="22"/>
          <w:szCs w:val="22"/>
          <w:highlight w:val="yellow"/>
        </w:rPr>
        <w:t>(PR NTDT200)</w:t>
      </w:r>
    </w:p>
    <w:p w:rsidR="0078156D" w:rsidRPr="00923760" w:rsidRDefault="0078156D" w:rsidP="0078156D">
      <w:pPr>
        <w:pStyle w:val="NormalWeb"/>
        <w:spacing w:before="0" w:beforeAutospacing="0" w:after="0" w:afterAutospacing="0" w:line="240" w:lineRule="auto"/>
        <w:rPr>
          <w:rFonts w:ascii="Arial" w:hAnsi="Arial" w:cs="Arial"/>
          <w:i/>
          <w:color w:val="auto"/>
          <w:sz w:val="22"/>
          <w:szCs w:val="22"/>
        </w:rPr>
      </w:pPr>
      <w:r>
        <w:rPr>
          <w:rFonts w:ascii="Arial" w:hAnsi="Arial" w:cs="Arial"/>
          <w:color w:val="auto"/>
          <w:sz w:val="22"/>
          <w:szCs w:val="22"/>
        </w:rPr>
        <w:t xml:space="preserve">NTDT420 Maternal and Infant Nutrition </w:t>
      </w:r>
      <w:r w:rsidRPr="00923760">
        <w:rPr>
          <w:rFonts w:ascii="Arial" w:hAnsi="Arial" w:cs="Arial"/>
          <w:i/>
          <w:color w:val="auto"/>
          <w:sz w:val="22"/>
          <w:szCs w:val="22"/>
          <w:highlight w:val="yellow"/>
        </w:rPr>
        <w:t>(PR NTDT200 and BISC106 or BISC276)</w:t>
      </w:r>
    </w:p>
    <w:p w:rsidR="0078156D" w:rsidRDefault="0078156D" w:rsidP="0078156D">
      <w:pPr>
        <w:pStyle w:val="NormalWeb"/>
        <w:spacing w:before="0" w:beforeAutospacing="0" w:after="0" w:afterAutospacing="0" w:line="240" w:lineRule="auto"/>
        <w:rPr>
          <w:rFonts w:ascii="Arial" w:hAnsi="Arial" w:cs="Arial"/>
          <w:color w:val="auto"/>
          <w:sz w:val="22"/>
          <w:szCs w:val="22"/>
        </w:rPr>
      </w:pPr>
    </w:p>
    <w:p w:rsidR="0078156D" w:rsidRDefault="0078156D" w:rsidP="0078156D">
      <w:pPr>
        <w:pStyle w:val="NormalWeb"/>
        <w:spacing w:before="0" w:beforeAutospacing="0" w:after="0" w:afterAutospacing="0" w:line="240" w:lineRule="auto"/>
        <w:rPr>
          <w:rFonts w:ascii="Arial" w:hAnsi="Arial" w:cs="Arial"/>
          <w:color w:val="auto"/>
          <w:sz w:val="22"/>
          <w:szCs w:val="22"/>
        </w:rPr>
      </w:pPr>
    </w:p>
    <w:p w:rsidR="0078156D" w:rsidRPr="00DB0276" w:rsidRDefault="0078156D" w:rsidP="0078156D">
      <w:pPr>
        <w:pStyle w:val="NormalWeb"/>
        <w:spacing w:before="0" w:beforeAutospacing="0" w:after="0" w:afterAutospacing="0" w:line="240" w:lineRule="auto"/>
        <w:rPr>
          <w:rFonts w:ascii="Arial" w:hAnsi="Arial" w:cs="Arial"/>
          <w:color w:val="auto"/>
          <w:sz w:val="22"/>
          <w:szCs w:val="22"/>
        </w:rPr>
      </w:pPr>
    </w:p>
    <w:p w:rsidR="0078156D" w:rsidRPr="00BF3329" w:rsidRDefault="0078156D" w:rsidP="0078156D">
      <w:pPr>
        <w:pStyle w:val="NormalWeb"/>
        <w:spacing w:before="0" w:beforeAutospacing="0" w:after="0" w:afterAutospacing="0" w:line="240" w:lineRule="auto"/>
        <w:rPr>
          <w:rFonts w:asciiTheme="minorHAnsi" w:hAnsiTheme="minorHAnsi" w:cs="Arial"/>
          <w:i/>
          <w:sz w:val="22"/>
          <w:szCs w:val="22"/>
        </w:rPr>
      </w:pPr>
      <w:r w:rsidRPr="00BF3329">
        <w:rPr>
          <w:rFonts w:asciiTheme="minorHAnsi" w:hAnsiTheme="minorHAnsi" w:cs="Arial"/>
          <w:b/>
          <w:i/>
          <w:color w:val="auto"/>
          <w:sz w:val="22"/>
          <w:szCs w:val="22"/>
          <w:u w:val="single"/>
        </w:rPr>
        <w:t>Admission:</w:t>
      </w:r>
      <w:r w:rsidR="00BF3329" w:rsidRPr="00BF3329">
        <w:rPr>
          <w:rFonts w:asciiTheme="minorHAnsi" w:hAnsiTheme="minorHAnsi" w:cs="Arial"/>
          <w:b/>
          <w:i/>
          <w:color w:val="auto"/>
          <w:sz w:val="22"/>
          <w:szCs w:val="22"/>
          <w:u w:val="single"/>
        </w:rPr>
        <w:t xml:space="preserve">  </w:t>
      </w:r>
      <w:r w:rsidRPr="00BF3329">
        <w:rPr>
          <w:rFonts w:asciiTheme="minorHAnsi" w:hAnsiTheme="minorHAnsi" w:cs="Arial"/>
          <w:i/>
          <w:color w:val="auto"/>
          <w:sz w:val="22"/>
          <w:szCs w:val="22"/>
        </w:rPr>
        <w:t xml:space="preserve">Completion of the minor is awarded only to those who have applied and been admitted to the program.  A cumulative grade point average (GPA) of 2.0 or above is required for admission to the minor.  A student may apply at any time by obtaining permission from the </w:t>
      </w:r>
      <w:r w:rsidR="002E5547" w:rsidRPr="00BF3329">
        <w:rPr>
          <w:rFonts w:asciiTheme="minorHAnsi" w:hAnsiTheme="minorHAnsi" w:cs="Arial"/>
          <w:i/>
          <w:color w:val="auto"/>
          <w:sz w:val="22"/>
          <w:szCs w:val="22"/>
        </w:rPr>
        <w:t xml:space="preserve">faculty advisor for the minor.  </w:t>
      </w:r>
      <w:r w:rsidRPr="00BF3329">
        <w:rPr>
          <w:rFonts w:asciiTheme="minorHAnsi" w:hAnsiTheme="minorHAnsi" w:cs="Arial"/>
          <w:i/>
          <w:sz w:val="22"/>
          <w:szCs w:val="22"/>
        </w:rPr>
        <w:t xml:space="preserve">To request the minor or for advisement and curricular information, please contact </w:t>
      </w:r>
      <w:r w:rsidR="004727DC">
        <w:rPr>
          <w:rFonts w:asciiTheme="minorHAnsi" w:hAnsiTheme="minorHAnsi" w:cs="Arial"/>
          <w:i/>
          <w:sz w:val="22"/>
          <w:szCs w:val="22"/>
        </w:rPr>
        <w:t>Dr</w:t>
      </w:r>
      <w:r w:rsidR="002E5547" w:rsidRPr="00BF3329">
        <w:rPr>
          <w:rFonts w:asciiTheme="minorHAnsi" w:hAnsiTheme="minorHAnsi" w:cs="Arial"/>
          <w:i/>
          <w:sz w:val="22"/>
          <w:szCs w:val="22"/>
        </w:rPr>
        <w:t xml:space="preserve">. Sandra Baker, </w:t>
      </w:r>
      <w:hyperlink r:id="rId6" w:history="1">
        <w:r w:rsidR="002E5547" w:rsidRPr="00BF3329">
          <w:rPr>
            <w:rStyle w:val="Hyperlink"/>
            <w:rFonts w:asciiTheme="minorHAnsi" w:hAnsiTheme="minorHAnsi" w:cs="Arial"/>
            <w:i/>
            <w:sz w:val="22"/>
            <w:szCs w:val="22"/>
          </w:rPr>
          <w:t>bakers@udel.edu</w:t>
        </w:r>
      </w:hyperlink>
      <w:r w:rsidR="002E5547" w:rsidRPr="00BF3329">
        <w:rPr>
          <w:rFonts w:asciiTheme="minorHAnsi" w:hAnsiTheme="minorHAnsi" w:cs="Arial"/>
          <w:i/>
          <w:sz w:val="22"/>
          <w:szCs w:val="22"/>
        </w:rPr>
        <w:t>, 302-831-0856</w:t>
      </w:r>
      <w:r w:rsidRPr="00BF3329">
        <w:rPr>
          <w:rFonts w:asciiTheme="minorHAnsi" w:hAnsiTheme="minorHAnsi" w:cs="Arial"/>
          <w:i/>
          <w:color w:val="auto"/>
          <w:sz w:val="22"/>
          <w:szCs w:val="22"/>
        </w:rPr>
        <w:t>.</w:t>
      </w:r>
    </w:p>
    <w:p w:rsidR="0078156D" w:rsidRDefault="0078156D" w:rsidP="0078156D">
      <w:pPr>
        <w:pStyle w:val="NormalWeb"/>
        <w:spacing w:before="0" w:beforeAutospacing="0" w:after="0" w:afterAutospacing="0" w:line="240" w:lineRule="auto"/>
        <w:rPr>
          <w:rFonts w:ascii="Arial" w:hAnsi="Arial" w:cs="Arial"/>
          <w:color w:val="auto"/>
          <w:sz w:val="22"/>
          <w:szCs w:val="22"/>
        </w:rPr>
      </w:pPr>
    </w:p>
    <w:p w:rsidR="0078156D" w:rsidRDefault="0078156D" w:rsidP="0078156D">
      <w:pPr>
        <w:pStyle w:val="NormalWeb"/>
        <w:spacing w:before="0" w:beforeAutospacing="0" w:after="0" w:afterAutospacing="0" w:line="240" w:lineRule="auto"/>
        <w:rPr>
          <w:rFonts w:ascii="Arial" w:hAnsi="Arial" w:cs="Arial"/>
          <w:color w:val="auto"/>
          <w:sz w:val="22"/>
          <w:szCs w:val="22"/>
        </w:rPr>
      </w:pPr>
    </w:p>
    <w:p w:rsidR="0062196D" w:rsidRPr="0078156D" w:rsidRDefault="0078156D" w:rsidP="0078156D">
      <w:pPr>
        <w:pStyle w:val="NormalWeb"/>
        <w:spacing w:before="0" w:beforeAutospacing="0" w:after="0" w:afterAutospacing="0" w:line="240" w:lineRule="auto"/>
        <w:rPr>
          <w:rFonts w:ascii="Arial" w:hAnsi="Arial" w:cs="Arial"/>
          <w:color w:val="auto"/>
          <w:sz w:val="22"/>
          <w:szCs w:val="22"/>
        </w:rPr>
      </w:pPr>
      <w:r w:rsidRPr="00DB0276">
        <w:rPr>
          <w:rFonts w:ascii="Arial" w:hAnsi="Arial" w:cs="Arial"/>
          <w:color w:val="auto"/>
          <w:sz w:val="22"/>
          <w:szCs w:val="22"/>
        </w:rPr>
        <w:t>*</w:t>
      </w:r>
      <w:r>
        <w:rPr>
          <w:rFonts w:ascii="Arial" w:hAnsi="Arial" w:cs="Arial"/>
          <w:color w:val="auto"/>
          <w:sz w:val="22"/>
          <w:szCs w:val="22"/>
        </w:rPr>
        <w:t xml:space="preserve"> C- or better required for CHEM214/216</w:t>
      </w:r>
    </w:p>
    <w:sectPr w:rsidR="0062196D" w:rsidRPr="007815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E71" w:rsidRDefault="00FE3E71" w:rsidP="00832D3B">
      <w:pPr>
        <w:spacing w:after="0" w:line="240" w:lineRule="auto"/>
      </w:pPr>
      <w:r>
        <w:separator/>
      </w:r>
    </w:p>
  </w:endnote>
  <w:endnote w:type="continuationSeparator" w:id="0">
    <w:p w:rsidR="00FE3E71" w:rsidRDefault="00FE3E71" w:rsidP="0083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D3B" w:rsidRPr="00832D3B" w:rsidRDefault="007B6812" w:rsidP="00B06AEA">
    <w:pPr>
      <w:pStyle w:val="Footer"/>
      <w:jc w:val="right"/>
      <w:rPr>
        <w:rFonts w:asciiTheme="minorHAnsi" w:hAnsiTheme="minorHAnsi"/>
        <w:sz w:val="16"/>
        <w:szCs w:val="16"/>
      </w:rPr>
    </w:pPr>
    <w:r>
      <w:rPr>
        <w:rFonts w:asciiTheme="minorHAnsi" w:hAnsiTheme="minorHAnsi"/>
        <w:sz w:val="16"/>
        <w:szCs w:val="16"/>
      </w:rPr>
      <w:t>6</w:t>
    </w:r>
    <w:r w:rsidR="00975123">
      <w:rPr>
        <w:rFonts w:asciiTheme="minorHAnsi" w:hAnsiTheme="minorHAnsi"/>
        <w:sz w:val="16"/>
        <w:szCs w:val="16"/>
      </w:rPr>
      <w:t>/</w:t>
    </w:r>
    <w:r>
      <w:rPr>
        <w:rFonts w:asciiTheme="minorHAnsi" w:hAnsiTheme="minorHAnsi"/>
        <w:sz w:val="16"/>
        <w:szCs w:val="16"/>
      </w:rPr>
      <w:t>6</w:t>
    </w:r>
    <w:r w:rsidR="00832D3B">
      <w:rPr>
        <w:rFonts w:asciiTheme="minorHAnsi" w:hAnsiTheme="minorHAnsi"/>
        <w:sz w:val="16"/>
        <w:szCs w:val="16"/>
      </w:rPr>
      <w:t>/1</w:t>
    </w:r>
    <w:r>
      <w:rPr>
        <w:rFonts w:asciiTheme="minorHAnsi" w:hAnsiTheme="minorHAnsi"/>
        <w:sz w:val="16"/>
        <w:szCs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E71" w:rsidRDefault="00FE3E71" w:rsidP="00832D3B">
      <w:pPr>
        <w:spacing w:after="0" w:line="240" w:lineRule="auto"/>
      </w:pPr>
      <w:r>
        <w:separator/>
      </w:r>
    </w:p>
  </w:footnote>
  <w:footnote w:type="continuationSeparator" w:id="0">
    <w:p w:rsidR="00FE3E71" w:rsidRDefault="00FE3E71" w:rsidP="00832D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56D"/>
    <w:rsid w:val="00007429"/>
    <w:rsid w:val="000128FE"/>
    <w:rsid w:val="00031D88"/>
    <w:rsid w:val="00042F86"/>
    <w:rsid w:val="000436A8"/>
    <w:rsid w:val="000555AD"/>
    <w:rsid w:val="00057CBB"/>
    <w:rsid w:val="000660B9"/>
    <w:rsid w:val="00084ED8"/>
    <w:rsid w:val="000970E3"/>
    <w:rsid w:val="0009748D"/>
    <w:rsid w:val="000A090D"/>
    <w:rsid w:val="000A42B2"/>
    <w:rsid w:val="000A61AF"/>
    <w:rsid w:val="000C2CED"/>
    <w:rsid w:val="000C48B5"/>
    <w:rsid w:val="000D0FF0"/>
    <w:rsid w:val="000D546C"/>
    <w:rsid w:val="000D58C5"/>
    <w:rsid w:val="000E6D11"/>
    <w:rsid w:val="000F2CE0"/>
    <w:rsid w:val="000F4D58"/>
    <w:rsid w:val="000F5959"/>
    <w:rsid w:val="0010033C"/>
    <w:rsid w:val="00115205"/>
    <w:rsid w:val="001215E9"/>
    <w:rsid w:val="00122F72"/>
    <w:rsid w:val="00123171"/>
    <w:rsid w:val="00123D86"/>
    <w:rsid w:val="00124CA8"/>
    <w:rsid w:val="00131B4A"/>
    <w:rsid w:val="00132140"/>
    <w:rsid w:val="0013458D"/>
    <w:rsid w:val="0013726C"/>
    <w:rsid w:val="00140AB0"/>
    <w:rsid w:val="001511A8"/>
    <w:rsid w:val="001614A8"/>
    <w:rsid w:val="00163177"/>
    <w:rsid w:val="00163325"/>
    <w:rsid w:val="00164FB0"/>
    <w:rsid w:val="001654CF"/>
    <w:rsid w:val="0018610B"/>
    <w:rsid w:val="0018644B"/>
    <w:rsid w:val="00186611"/>
    <w:rsid w:val="001877DB"/>
    <w:rsid w:val="001939CA"/>
    <w:rsid w:val="00196AE8"/>
    <w:rsid w:val="001A76A7"/>
    <w:rsid w:val="001A7BC5"/>
    <w:rsid w:val="001B082B"/>
    <w:rsid w:val="001B3CC3"/>
    <w:rsid w:val="001C2972"/>
    <w:rsid w:val="001C728A"/>
    <w:rsid w:val="001E2ED0"/>
    <w:rsid w:val="001F039C"/>
    <w:rsid w:val="001F0FA4"/>
    <w:rsid w:val="001F1397"/>
    <w:rsid w:val="001F516C"/>
    <w:rsid w:val="00200EFD"/>
    <w:rsid w:val="0020509C"/>
    <w:rsid w:val="0021150B"/>
    <w:rsid w:val="00220C74"/>
    <w:rsid w:val="00230195"/>
    <w:rsid w:val="002413B9"/>
    <w:rsid w:val="00241F3F"/>
    <w:rsid w:val="002431AF"/>
    <w:rsid w:val="0024615E"/>
    <w:rsid w:val="00247B46"/>
    <w:rsid w:val="00253A2B"/>
    <w:rsid w:val="00253B1F"/>
    <w:rsid w:val="00254237"/>
    <w:rsid w:val="00255D3C"/>
    <w:rsid w:val="00260C0E"/>
    <w:rsid w:val="00263A4D"/>
    <w:rsid w:val="00270F6C"/>
    <w:rsid w:val="00275B5C"/>
    <w:rsid w:val="00275F5E"/>
    <w:rsid w:val="002801E2"/>
    <w:rsid w:val="00283374"/>
    <w:rsid w:val="00283539"/>
    <w:rsid w:val="00297A93"/>
    <w:rsid w:val="002A2789"/>
    <w:rsid w:val="002A27E5"/>
    <w:rsid w:val="002A466A"/>
    <w:rsid w:val="002A5C2D"/>
    <w:rsid w:val="002B124B"/>
    <w:rsid w:val="002B3711"/>
    <w:rsid w:val="002C0EC2"/>
    <w:rsid w:val="002D72FC"/>
    <w:rsid w:val="002D7E27"/>
    <w:rsid w:val="002E2639"/>
    <w:rsid w:val="002E53F6"/>
    <w:rsid w:val="002E5547"/>
    <w:rsid w:val="002E75A3"/>
    <w:rsid w:val="00300B7D"/>
    <w:rsid w:val="00311B31"/>
    <w:rsid w:val="00312853"/>
    <w:rsid w:val="003172B7"/>
    <w:rsid w:val="003247C6"/>
    <w:rsid w:val="003336BF"/>
    <w:rsid w:val="0033424B"/>
    <w:rsid w:val="00335CA4"/>
    <w:rsid w:val="0034215B"/>
    <w:rsid w:val="00343ABA"/>
    <w:rsid w:val="00344BE0"/>
    <w:rsid w:val="003515DD"/>
    <w:rsid w:val="00360CCE"/>
    <w:rsid w:val="00361CF8"/>
    <w:rsid w:val="00370FF2"/>
    <w:rsid w:val="00372FD1"/>
    <w:rsid w:val="00377BB8"/>
    <w:rsid w:val="00384765"/>
    <w:rsid w:val="00384EFF"/>
    <w:rsid w:val="003853DB"/>
    <w:rsid w:val="00386741"/>
    <w:rsid w:val="00392EA1"/>
    <w:rsid w:val="003976F3"/>
    <w:rsid w:val="00397CF9"/>
    <w:rsid w:val="003A33CD"/>
    <w:rsid w:val="003A5424"/>
    <w:rsid w:val="003B009C"/>
    <w:rsid w:val="003B1358"/>
    <w:rsid w:val="003B6E2F"/>
    <w:rsid w:val="003C4A72"/>
    <w:rsid w:val="003D1CE9"/>
    <w:rsid w:val="003D4776"/>
    <w:rsid w:val="003E1667"/>
    <w:rsid w:val="004057A5"/>
    <w:rsid w:val="00406508"/>
    <w:rsid w:val="00414135"/>
    <w:rsid w:val="0041422E"/>
    <w:rsid w:val="00414FC8"/>
    <w:rsid w:val="00415DF5"/>
    <w:rsid w:val="004201DD"/>
    <w:rsid w:val="004219B5"/>
    <w:rsid w:val="00424551"/>
    <w:rsid w:val="00424554"/>
    <w:rsid w:val="00435A0C"/>
    <w:rsid w:val="004372B5"/>
    <w:rsid w:val="00440AC3"/>
    <w:rsid w:val="0044100E"/>
    <w:rsid w:val="00441112"/>
    <w:rsid w:val="00447A8E"/>
    <w:rsid w:val="0046406D"/>
    <w:rsid w:val="004650E8"/>
    <w:rsid w:val="0046667F"/>
    <w:rsid w:val="00472478"/>
    <w:rsid w:val="0047255B"/>
    <w:rsid w:val="004725D1"/>
    <w:rsid w:val="004727DC"/>
    <w:rsid w:val="00472E69"/>
    <w:rsid w:val="00473A44"/>
    <w:rsid w:val="004777D0"/>
    <w:rsid w:val="00483290"/>
    <w:rsid w:val="0048706B"/>
    <w:rsid w:val="004913B8"/>
    <w:rsid w:val="00491BAF"/>
    <w:rsid w:val="00497DB6"/>
    <w:rsid w:val="004A18A5"/>
    <w:rsid w:val="004A2584"/>
    <w:rsid w:val="004B4090"/>
    <w:rsid w:val="004B6680"/>
    <w:rsid w:val="004E0147"/>
    <w:rsid w:val="004E2120"/>
    <w:rsid w:val="004F62B5"/>
    <w:rsid w:val="004F77E3"/>
    <w:rsid w:val="00501E68"/>
    <w:rsid w:val="0050331E"/>
    <w:rsid w:val="00504EBA"/>
    <w:rsid w:val="005142E8"/>
    <w:rsid w:val="0051438A"/>
    <w:rsid w:val="00514BE9"/>
    <w:rsid w:val="005171B7"/>
    <w:rsid w:val="00517648"/>
    <w:rsid w:val="00521EEE"/>
    <w:rsid w:val="00524FAC"/>
    <w:rsid w:val="0052782B"/>
    <w:rsid w:val="005310BE"/>
    <w:rsid w:val="0053392A"/>
    <w:rsid w:val="005367A9"/>
    <w:rsid w:val="00543C96"/>
    <w:rsid w:val="005462F7"/>
    <w:rsid w:val="00552069"/>
    <w:rsid w:val="00560261"/>
    <w:rsid w:val="00561D09"/>
    <w:rsid w:val="00562B5B"/>
    <w:rsid w:val="00583ACE"/>
    <w:rsid w:val="005917FA"/>
    <w:rsid w:val="00593BD7"/>
    <w:rsid w:val="00595260"/>
    <w:rsid w:val="005A0397"/>
    <w:rsid w:val="005A32CC"/>
    <w:rsid w:val="005A34C0"/>
    <w:rsid w:val="005A4C99"/>
    <w:rsid w:val="005B24ED"/>
    <w:rsid w:val="005B599E"/>
    <w:rsid w:val="005B6E7E"/>
    <w:rsid w:val="005B72F4"/>
    <w:rsid w:val="005B7927"/>
    <w:rsid w:val="005B7A72"/>
    <w:rsid w:val="005B7C2C"/>
    <w:rsid w:val="005C2762"/>
    <w:rsid w:val="005E01E2"/>
    <w:rsid w:val="005E2FA6"/>
    <w:rsid w:val="005E3964"/>
    <w:rsid w:val="005E6419"/>
    <w:rsid w:val="005F0C57"/>
    <w:rsid w:val="005F2921"/>
    <w:rsid w:val="005F31A6"/>
    <w:rsid w:val="005F4D57"/>
    <w:rsid w:val="00600EFF"/>
    <w:rsid w:val="00601E45"/>
    <w:rsid w:val="0060285C"/>
    <w:rsid w:val="006030C6"/>
    <w:rsid w:val="00604A65"/>
    <w:rsid w:val="00604A80"/>
    <w:rsid w:val="00605A73"/>
    <w:rsid w:val="00605AAF"/>
    <w:rsid w:val="00606B18"/>
    <w:rsid w:val="00610E66"/>
    <w:rsid w:val="00614F88"/>
    <w:rsid w:val="0062196D"/>
    <w:rsid w:val="0062714D"/>
    <w:rsid w:val="00627E08"/>
    <w:rsid w:val="006343B3"/>
    <w:rsid w:val="0064526F"/>
    <w:rsid w:val="00647CFE"/>
    <w:rsid w:val="006500E2"/>
    <w:rsid w:val="0065675E"/>
    <w:rsid w:val="0066319D"/>
    <w:rsid w:val="00663382"/>
    <w:rsid w:val="00665BF4"/>
    <w:rsid w:val="00674078"/>
    <w:rsid w:val="00676422"/>
    <w:rsid w:val="00676C97"/>
    <w:rsid w:val="00677B14"/>
    <w:rsid w:val="0069214C"/>
    <w:rsid w:val="00694DEC"/>
    <w:rsid w:val="006A77D9"/>
    <w:rsid w:val="006B3314"/>
    <w:rsid w:val="006C24CF"/>
    <w:rsid w:val="006C261F"/>
    <w:rsid w:val="006C6F72"/>
    <w:rsid w:val="006D38AF"/>
    <w:rsid w:val="006D3F63"/>
    <w:rsid w:val="006E21C1"/>
    <w:rsid w:val="006E68DE"/>
    <w:rsid w:val="006F2D5E"/>
    <w:rsid w:val="006F7EA3"/>
    <w:rsid w:val="00712E10"/>
    <w:rsid w:val="007226A3"/>
    <w:rsid w:val="0072509E"/>
    <w:rsid w:val="0072579C"/>
    <w:rsid w:val="00730595"/>
    <w:rsid w:val="007349CA"/>
    <w:rsid w:val="00734B83"/>
    <w:rsid w:val="00735BE8"/>
    <w:rsid w:val="00742EA5"/>
    <w:rsid w:val="00747198"/>
    <w:rsid w:val="0075169D"/>
    <w:rsid w:val="007530D0"/>
    <w:rsid w:val="00762795"/>
    <w:rsid w:val="00764E5C"/>
    <w:rsid w:val="007666D2"/>
    <w:rsid w:val="00775F42"/>
    <w:rsid w:val="0078156D"/>
    <w:rsid w:val="00786DFB"/>
    <w:rsid w:val="00786E49"/>
    <w:rsid w:val="00787B72"/>
    <w:rsid w:val="00792B01"/>
    <w:rsid w:val="007962E1"/>
    <w:rsid w:val="007A191D"/>
    <w:rsid w:val="007A19D2"/>
    <w:rsid w:val="007A47B9"/>
    <w:rsid w:val="007A6E67"/>
    <w:rsid w:val="007B310F"/>
    <w:rsid w:val="007B6812"/>
    <w:rsid w:val="007C29BE"/>
    <w:rsid w:val="007C602F"/>
    <w:rsid w:val="007D4A85"/>
    <w:rsid w:val="007D6306"/>
    <w:rsid w:val="007E0B84"/>
    <w:rsid w:val="007E5B5A"/>
    <w:rsid w:val="007F354D"/>
    <w:rsid w:val="007F4511"/>
    <w:rsid w:val="007F785A"/>
    <w:rsid w:val="007F787F"/>
    <w:rsid w:val="00806160"/>
    <w:rsid w:val="00812142"/>
    <w:rsid w:val="00812D96"/>
    <w:rsid w:val="00814C18"/>
    <w:rsid w:val="008155B5"/>
    <w:rsid w:val="0081725B"/>
    <w:rsid w:val="00832D3B"/>
    <w:rsid w:val="008352FD"/>
    <w:rsid w:val="00837378"/>
    <w:rsid w:val="008376A0"/>
    <w:rsid w:val="00840BAD"/>
    <w:rsid w:val="00840E98"/>
    <w:rsid w:val="008438B4"/>
    <w:rsid w:val="00846E38"/>
    <w:rsid w:val="00853A14"/>
    <w:rsid w:val="00861011"/>
    <w:rsid w:val="00862674"/>
    <w:rsid w:val="00870BEB"/>
    <w:rsid w:val="00872B96"/>
    <w:rsid w:val="008738DF"/>
    <w:rsid w:val="00876260"/>
    <w:rsid w:val="008766C7"/>
    <w:rsid w:val="00894D78"/>
    <w:rsid w:val="008C11FC"/>
    <w:rsid w:val="008C2D94"/>
    <w:rsid w:val="008D5736"/>
    <w:rsid w:val="008E1FEC"/>
    <w:rsid w:val="008E7393"/>
    <w:rsid w:val="008F3E6C"/>
    <w:rsid w:val="00901095"/>
    <w:rsid w:val="00902C96"/>
    <w:rsid w:val="00905E85"/>
    <w:rsid w:val="0090616A"/>
    <w:rsid w:val="00911BC6"/>
    <w:rsid w:val="0091416B"/>
    <w:rsid w:val="00917F2D"/>
    <w:rsid w:val="009272B4"/>
    <w:rsid w:val="00930375"/>
    <w:rsid w:val="00930478"/>
    <w:rsid w:val="009337E8"/>
    <w:rsid w:val="00944196"/>
    <w:rsid w:val="0094450E"/>
    <w:rsid w:val="0094744B"/>
    <w:rsid w:val="00954310"/>
    <w:rsid w:val="00954BC4"/>
    <w:rsid w:val="00954F18"/>
    <w:rsid w:val="00956813"/>
    <w:rsid w:val="0095780D"/>
    <w:rsid w:val="00975123"/>
    <w:rsid w:val="00975206"/>
    <w:rsid w:val="00976231"/>
    <w:rsid w:val="009766A1"/>
    <w:rsid w:val="00977280"/>
    <w:rsid w:val="009808EF"/>
    <w:rsid w:val="00981BED"/>
    <w:rsid w:val="00983FF9"/>
    <w:rsid w:val="00996214"/>
    <w:rsid w:val="009A5B07"/>
    <w:rsid w:val="009B2BCD"/>
    <w:rsid w:val="009B2E26"/>
    <w:rsid w:val="009B7E29"/>
    <w:rsid w:val="009C2676"/>
    <w:rsid w:val="009C3040"/>
    <w:rsid w:val="009C4664"/>
    <w:rsid w:val="009C6088"/>
    <w:rsid w:val="009C694A"/>
    <w:rsid w:val="009D2A66"/>
    <w:rsid w:val="009D38B9"/>
    <w:rsid w:val="009D3987"/>
    <w:rsid w:val="009D52AA"/>
    <w:rsid w:val="009D7822"/>
    <w:rsid w:val="009E5B47"/>
    <w:rsid w:val="00A0029A"/>
    <w:rsid w:val="00A00648"/>
    <w:rsid w:val="00A016CB"/>
    <w:rsid w:val="00A018A8"/>
    <w:rsid w:val="00A1070B"/>
    <w:rsid w:val="00A11432"/>
    <w:rsid w:val="00A123DD"/>
    <w:rsid w:val="00A12B2E"/>
    <w:rsid w:val="00A3254C"/>
    <w:rsid w:val="00A32A72"/>
    <w:rsid w:val="00A36224"/>
    <w:rsid w:val="00A366F5"/>
    <w:rsid w:val="00A437F1"/>
    <w:rsid w:val="00A45C0B"/>
    <w:rsid w:val="00A50A4A"/>
    <w:rsid w:val="00A51BF0"/>
    <w:rsid w:val="00A56784"/>
    <w:rsid w:val="00A56ECF"/>
    <w:rsid w:val="00A57D4B"/>
    <w:rsid w:val="00A662B8"/>
    <w:rsid w:val="00A667A0"/>
    <w:rsid w:val="00A71441"/>
    <w:rsid w:val="00A757AC"/>
    <w:rsid w:val="00A84B27"/>
    <w:rsid w:val="00A878BC"/>
    <w:rsid w:val="00A92721"/>
    <w:rsid w:val="00A932C1"/>
    <w:rsid w:val="00AA1F9D"/>
    <w:rsid w:val="00AA4577"/>
    <w:rsid w:val="00AA6151"/>
    <w:rsid w:val="00AA645E"/>
    <w:rsid w:val="00AB0165"/>
    <w:rsid w:val="00AD01AE"/>
    <w:rsid w:val="00AE1631"/>
    <w:rsid w:val="00AE1DF9"/>
    <w:rsid w:val="00AF29B2"/>
    <w:rsid w:val="00AF3437"/>
    <w:rsid w:val="00B02D17"/>
    <w:rsid w:val="00B06AEA"/>
    <w:rsid w:val="00B1431C"/>
    <w:rsid w:val="00B14D8E"/>
    <w:rsid w:val="00B1553C"/>
    <w:rsid w:val="00B22B44"/>
    <w:rsid w:val="00B26534"/>
    <w:rsid w:val="00B36F30"/>
    <w:rsid w:val="00B42478"/>
    <w:rsid w:val="00B45215"/>
    <w:rsid w:val="00B52F7F"/>
    <w:rsid w:val="00B649AD"/>
    <w:rsid w:val="00B6629D"/>
    <w:rsid w:val="00B75C45"/>
    <w:rsid w:val="00B87B44"/>
    <w:rsid w:val="00B925A2"/>
    <w:rsid w:val="00B974D4"/>
    <w:rsid w:val="00BA29A3"/>
    <w:rsid w:val="00BA416E"/>
    <w:rsid w:val="00BB0ECC"/>
    <w:rsid w:val="00BB1E1C"/>
    <w:rsid w:val="00BB21C4"/>
    <w:rsid w:val="00BB44C8"/>
    <w:rsid w:val="00BB6270"/>
    <w:rsid w:val="00BB7294"/>
    <w:rsid w:val="00BC4D63"/>
    <w:rsid w:val="00BD6B52"/>
    <w:rsid w:val="00BE002D"/>
    <w:rsid w:val="00BE3779"/>
    <w:rsid w:val="00BE63B3"/>
    <w:rsid w:val="00BF019F"/>
    <w:rsid w:val="00BF18FB"/>
    <w:rsid w:val="00BF2F3F"/>
    <w:rsid w:val="00BF3329"/>
    <w:rsid w:val="00BF4D66"/>
    <w:rsid w:val="00C05E45"/>
    <w:rsid w:val="00C06787"/>
    <w:rsid w:val="00C06DA5"/>
    <w:rsid w:val="00C12D91"/>
    <w:rsid w:val="00C132C4"/>
    <w:rsid w:val="00C243B2"/>
    <w:rsid w:val="00C342A5"/>
    <w:rsid w:val="00C35E54"/>
    <w:rsid w:val="00C400DC"/>
    <w:rsid w:val="00C45B57"/>
    <w:rsid w:val="00C46F8D"/>
    <w:rsid w:val="00C4749A"/>
    <w:rsid w:val="00C47993"/>
    <w:rsid w:val="00C517F2"/>
    <w:rsid w:val="00C54F46"/>
    <w:rsid w:val="00C57E1E"/>
    <w:rsid w:val="00C60427"/>
    <w:rsid w:val="00C611F8"/>
    <w:rsid w:val="00C61B81"/>
    <w:rsid w:val="00C73124"/>
    <w:rsid w:val="00C77240"/>
    <w:rsid w:val="00C77A14"/>
    <w:rsid w:val="00C802DA"/>
    <w:rsid w:val="00C82C2C"/>
    <w:rsid w:val="00C83A0F"/>
    <w:rsid w:val="00C84DB3"/>
    <w:rsid w:val="00C8587D"/>
    <w:rsid w:val="00C869C1"/>
    <w:rsid w:val="00C91EBF"/>
    <w:rsid w:val="00C9369E"/>
    <w:rsid w:val="00CC40B6"/>
    <w:rsid w:val="00CD34B1"/>
    <w:rsid w:val="00CD4A4C"/>
    <w:rsid w:val="00CE17CC"/>
    <w:rsid w:val="00CE5DD0"/>
    <w:rsid w:val="00CE722B"/>
    <w:rsid w:val="00CF069C"/>
    <w:rsid w:val="00CF68E3"/>
    <w:rsid w:val="00CF769F"/>
    <w:rsid w:val="00D05889"/>
    <w:rsid w:val="00D07777"/>
    <w:rsid w:val="00D12C27"/>
    <w:rsid w:val="00D1360D"/>
    <w:rsid w:val="00D15F8A"/>
    <w:rsid w:val="00D1641A"/>
    <w:rsid w:val="00D17F82"/>
    <w:rsid w:val="00D25BDB"/>
    <w:rsid w:val="00D31FEE"/>
    <w:rsid w:val="00D452B0"/>
    <w:rsid w:val="00D473F7"/>
    <w:rsid w:val="00D51F51"/>
    <w:rsid w:val="00D55AC2"/>
    <w:rsid w:val="00D60BC7"/>
    <w:rsid w:val="00D63D35"/>
    <w:rsid w:val="00D6774A"/>
    <w:rsid w:val="00D67AB7"/>
    <w:rsid w:val="00D73A85"/>
    <w:rsid w:val="00D74992"/>
    <w:rsid w:val="00D76EE1"/>
    <w:rsid w:val="00D83716"/>
    <w:rsid w:val="00D83870"/>
    <w:rsid w:val="00D8397C"/>
    <w:rsid w:val="00D907B1"/>
    <w:rsid w:val="00D92636"/>
    <w:rsid w:val="00DA6584"/>
    <w:rsid w:val="00DA673F"/>
    <w:rsid w:val="00DB09EA"/>
    <w:rsid w:val="00DC5D7F"/>
    <w:rsid w:val="00DE10E6"/>
    <w:rsid w:val="00DE1370"/>
    <w:rsid w:val="00DE1F70"/>
    <w:rsid w:val="00DF20B6"/>
    <w:rsid w:val="00DF542A"/>
    <w:rsid w:val="00E077C3"/>
    <w:rsid w:val="00E156A4"/>
    <w:rsid w:val="00E2346E"/>
    <w:rsid w:val="00E236FD"/>
    <w:rsid w:val="00E237D4"/>
    <w:rsid w:val="00E30D08"/>
    <w:rsid w:val="00E3163F"/>
    <w:rsid w:val="00E366CE"/>
    <w:rsid w:val="00E4174C"/>
    <w:rsid w:val="00E42352"/>
    <w:rsid w:val="00E424B3"/>
    <w:rsid w:val="00E47889"/>
    <w:rsid w:val="00E50A15"/>
    <w:rsid w:val="00E5352E"/>
    <w:rsid w:val="00E5621C"/>
    <w:rsid w:val="00E64501"/>
    <w:rsid w:val="00E64DC9"/>
    <w:rsid w:val="00E70A6F"/>
    <w:rsid w:val="00E750CC"/>
    <w:rsid w:val="00E772A2"/>
    <w:rsid w:val="00E8432A"/>
    <w:rsid w:val="00E97ABB"/>
    <w:rsid w:val="00EA10AC"/>
    <w:rsid w:val="00EA1568"/>
    <w:rsid w:val="00EA229D"/>
    <w:rsid w:val="00EA43AE"/>
    <w:rsid w:val="00EB0ECE"/>
    <w:rsid w:val="00EB3CF8"/>
    <w:rsid w:val="00EC1303"/>
    <w:rsid w:val="00EC346E"/>
    <w:rsid w:val="00ED27BE"/>
    <w:rsid w:val="00EE06AC"/>
    <w:rsid w:val="00EE2AC9"/>
    <w:rsid w:val="00EE57C9"/>
    <w:rsid w:val="00EE7648"/>
    <w:rsid w:val="00F03519"/>
    <w:rsid w:val="00F04245"/>
    <w:rsid w:val="00F10660"/>
    <w:rsid w:val="00F15CE2"/>
    <w:rsid w:val="00F16E83"/>
    <w:rsid w:val="00F20F2F"/>
    <w:rsid w:val="00F352EA"/>
    <w:rsid w:val="00F526AB"/>
    <w:rsid w:val="00F64120"/>
    <w:rsid w:val="00F67276"/>
    <w:rsid w:val="00F71C6F"/>
    <w:rsid w:val="00F91639"/>
    <w:rsid w:val="00F9323C"/>
    <w:rsid w:val="00FB5CF5"/>
    <w:rsid w:val="00FC6F47"/>
    <w:rsid w:val="00FE071C"/>
    <w:rsid w:val="00FE07AD"/>
    <w:rsid w:val="00FE07EF"/>
    <w:rsid w:val="00FE3E71"/>
    <w:rsid w:val="00FE614C"/>
    <w:rsid w:val="00FF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F019B-9D02-45E1-B0AD-A7B16684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56D"/>
    <w:pPr>
      <w:spacing w:after="200" w:line="276"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78156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8156D"/>
    <w:rPr>
      <w:rFonts w:ascii="Arial" w:eastAsia="Times New Roman" w:hAnsi="Arial" w:cs="Arial"/>
      <w:b/>
      <w:bCs/>
      <w:sz w:val="26"/>
      <w:szCs w:val="26"/>
    </w:rPr>
  </w:style>
  <w:style w:type="character" w:styleId="Hyperlink">
    <w:name w:val="Hyperlink"/>
    <w:basedOn w:val="DefaultParagraphFont"/>
    <w:rsid w:val="0078156D"/>
    <w:rPr>
      <w:color w:val="0000FF"/>
      <w:u w:val="single"/>
    </w:rPr>
  </w:style>
  <w:style w:type="paragraph" w:styleId="NormalWeb">
    <w:name w:val="Normal (Web)"/>
    <w:basedOn w:val="Normal"/>
    <w:uiPriority w:val="99"/>
    <w:unhideWhenUsed/>
    <w:rsid w:val="0078156D"/>
    <w:pPr>
      <w:spacing w:before="100" w:beforeAutospacing="1" w:after="100" w:afterAutospacing="1"/>
    </w:pPr>
    <w:rPr>
      <w:rFonts w:ascii="Tahoma" w:hAnsi="Tahoma" w:cs="Tahoma"/>
      <w:color w:val="1E266B"/>
      <w:sz w:val="20"/>
      <w:szCs w:val="20"/>
    </w:rPr>
  </w:style>
  <w:style w:type="paragraph" w:styleId="Header">
    <w:name w:val="header"/>
    <w:basedOn w:val="Normal"/>
    <w:link w:val="HeaderChar"/>
    <w:uiPriority w:val="99"/>
    <w:unhideWhenUsed/>
    <w:rsid w:val="00832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D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2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D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kers@udel.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Coffing</dc:creator>
  <cp:lastModifiedBy>Windows User</cp:lastModifiedBy>
  <cp:revision>2</cp:revision>
  <cp:lastPrinted>2014-06-16T18:31:00Z</cp:lastPrinted>
  <dcterms:created xsi:type="dcterms:W3CDTF">2014-07-09T16:08:00Z</dcterms:created>
  <dcterms:modified xsi:type="dcterms:W3CDTF">2014-07-09T16:08:00Z</dcterms:modified>
</cp:coreProperties>
</file>